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DD331D" w:rsidTr="00CD37A1">
        <w:tc>
          <w:tcPr>
            <w:tcW w:w="10041" w:type="dxa"/>
            <w:gridSpan w:val="2"/>
          </w:tcPr>
          <w:p w:rsidR="00B022F4" w:rsidRDefault="00B022F4" w:rsidP="00847E3C">
            <w:pPr>
              <w:jc w:val="center"/>
              <w:rPr>
                <w:b/>
                <w:color w:val="FF00FF"/>
              </w:rPr>
            </w:pPr>
          </w:p>
          <w:p w:rsidR="00D453F3" w:rsidRDefault="005C7017" w:rsidP="00B0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367" w:rsidRPr="00127643" w:rsidRDefault="007E6367" w:rsidP="007E6367">
            <w:pPr>
              <w:jc w:val="center"/>
              <w:rPr>
                <w:b/>
              </w:rPr>
            </w:pPr>
            <w:r w:rsidRPr="00127643">
              <w:rPr>
                <w:b/>
              </w:rPr>
              <w:t>Grade</w:t>
            </w:r>
            <w:r w:rsidR="00127643" w:rsidRPr="00127643">
              <w:rPr>
                <w:b/>
              </w:rPr>
              <w:t xml:space="preserve"> 1</w:t>
            </w:r>
          </w:p>
          <w:p w:rsidR="007E6367" w:rsidRPr="00127643" w:rsidRDefault="00127643" w:rsidP="007E6367">
            <w:pPr>
              <w:jc w:val="center"/>
              <w:rPr>
                <w:b/>
              </w:rPr>
            </w:pPr>
            <w:r w:rsidRPr="00127643">
              <w:rPr>
                <w:b/>
              </w:rPr>
              <w:t>Puzzle in Pieces</w:t>
            </w:r>
          </w:p>
          <w:p w:rsidR="00B022F4" w:rsidRPr="00DD331D" w:rsidRDefault="00B022F4" w:rsidP="00B022F4">
            <w:pPr>
              <w:jc w:val="center"/>
              <w:rPr>
                <w:b/>
              </w:rPr>
            </w:pPr>
          </w:p>
        </w:tc>
      </w:tr>
      <w:tr w:rsidR="00D453F3" w:rsidTr="00CD37A1">
        <w:tc>
          <w:tcPr>
            <w:tcW w:w="1710" w:type="dxa"/>
          </w:tcPr>
          <w:p w:rsidR="00D453F3" w:rsidRPr="00A83110" w:rsidRDefault="00F766F4" w:rsidP="00847E3C">
            <w:pPr>
              <w:ind w:right="-275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127643" w:rsidRDefault="00127643" w:rsidP="00FC02D7">
            <w:r>
              <w:t>Students will:</w:t>
            </w:r>
          </w:p>
          <w:p w:rsidR="00127643" w:rsidRDefault="00851D97" w:rsidP="00FC02D7">
            <w:r>
              <w:t xml:space="preserve">Use </w:t>
            </w:r>
            <w:r w:rsidR="00127643">
              <w:t>c</w:t>
            </w:r>
            <w:r>
              <w:t xml:space="preserve">lean line paint tools to draw a </w:t>
            </w:r>
            <w:r w:rsidR="00127643">
              <w:t>perfect square.</w:t>
            </w:r>
          </w:p>
          <w:p w:rsidR="00127643" w:rsidRDefault="00127643" w:rsidP="00FC02D7">
            <w:r>
              <w:t>Fill the square with five rectangles, each a different color.</w:t>
            </w:r>
          </w:p>
          <w:p w:rsidR="00A443D9" w:rsidRDefault="00A443D9" w:rsidP="00FC02D7">
            <w:r>
              <w:t xml:space="preserve">Describe </w:t>
            </w:r>
            <w:r w:rsidR="00975D23">
              <w:t xml:space="preserve">the </w:t>
            </w:r>
            <w:r>
              <w:t>geometric attributes and properties of the puzzle pieces.</w:t>
            </w:r>
          </w:p>
          <w:p w:rsidR="00DF152C" w:rsidRDefault="00DF152C" w:rsidP="00FC02D7">
            <w:r>
              <w:t>Move the pieces to new locations to make different patterns.</w:t>
            </w:r>
          </w:p>
          <w:p w:rsidR="00D453F3" w:rsidRDefault="00127643" w:rsidP="00FC02D7">
            <w:r>
              <w:t>Stack the pieces to cover the least area of the square.</w:t>
            </w:r>
            <w:r w:rsidR="00D453F3">
              <w:t xml:space="preserve"> </w:t>
            </w:r>
          </w:p>
          <w:p w:rsidR="002212CF" w:rsidRDefault="00127643" w:rsidP="00FC02D7">
            <w:r>
              <w:t>Stack the pieces in t</w:t>
            </w:r>
            <w:r w:rsidR="002212CF">
              <w:t>he top left, top right</w:t>
            </w:r>
            <w:r w:rsidR="00DF152C">
              <w:t xml:space="preserve"> and other </w:t>
            </w:r>
            <w:r>
              <w:t>locations</w:t>
            </w:r>
            <w:r w:rsidR="002212CF">
              <w:t>.</w:t>
            </w:r>
          </w:p>
          <w:p w:rsidR="00127643" w:rsidRDefault="00851D97" w:rsidP="00FC02D7">
            <w:r>
              <w:t>Identify, discuss and describe</w:t>
            </w:r>
            <w:r w:rsidR="00B14695">
              <w:t xml:space="preserve"> </w:t>
            </w:r>
            <w:r w:rsidR="00CD37A1">
              <w:t>positive and negative shap</w:t>
            </w:r>
            <w:r w:rsidR="00470F05">
              <w:t>es created using</w:t>
            </w:r>
            <w:r w:rsidR="00975D23">
              <w:t xml:space="preserve"> the pieces inside </w:t>
            </w:r>
            <w:r>
              <w:t xml:space="preserve">and outside </w:t>
            </w:r>
            <w:r w:rsidR="00975D23">
              <w:t>the squ</w:t>
            </w:r>
            <w:r>
              <w:t>are border</w:t>
            </w:r>
            <w:r w:rsidR="00975D23">
              <w:t>.</w:t>
            </w:r>
          </w:p>
        </w:tc>
      </w:tr>
      <w:tr w:rsidR="0060648C" w:rsidTr="00CD37A1">
        <w:tc>
          <w:tcPr>
            <w:tcW w:w="1710" w:type="dxa"/>
          </w:tcPr>
          <w:p w:rsidR="0060648C" w:rsidRDefault="0022273D" w:rsidP="00847E3C">
            <w:pPr>
              <w:ind w:right="-275"/>
              <w:rPr>
                <w:b/>
              </w:rPr>
            </w:pPr>
            <w:r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2212CF" w:rsidRDefault="002212CF" w:rsidP="00847E3C"/>
          <w:p w:rsidR="002212CF" w:rsidRDefault="00851D97" w:rsidP="002212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03320" cy="2896186"/>
                  <wp:effectExtent l="19050" t="0" r="0" b="0"/>
                  <wp:docPr id="4" name="Picture 3" descr="pa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320" cy="289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48C" w:rsidRDefault="0060648C" w:rsidP="00847E3C"/>
        </w:tc>
      </w:tr>
      <w:tr w:rsidR="00D453F3" w:rsidTr="00CD37A1">
        <w:tc>
          <w:tcPr>
            <w:tcW w:w="1710" w:type="dxa"/>
          </w:tcPr>
          <w:p w:rsidR="00D453F3" w:rsidRPr="00A83110" w:rsidRDefault="00FA0A1E" w:rsidP="00FA0A1E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2212CF" w:rsidP="00847E3C">
            <w:r>
              <w:t>Mathematics</w:t>
            </w:r>
          </w:p>
        </w:tc>
      </w:tr>
      <w:tr w:rsidR="00FA0A1E" w:rsidRPr="00012450" w:rsidTr="00CD37A1">
        <w:tc>
          <w:tcPr>
            <w:tcW w:w="1710" w:type="dxa"/>
          </w:tcPr>
          <w:p w:rsidR="00FA0A1E" w:rsidRPr="00A83110" w:rsidRDefault="00FA0A1E" w:rsidP="00847E3C">
            <w:pPr>
              <w:rPr>
                <w:b/>
              </w:rPr>
            </w:pPr>
            <w:r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FA0A1E" w:rsidRPr="007E6367" w:rsidRDefault="00FA0A1E" w:rsidP="00FA0A1E">
            <w:pPr>
              <w:rPr>
                <w:sz w:val="20"/>
                <w:szCs w:val="20"/>
              </w:rPr>
            </w:pPr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>tutorials for basic tools and techniques.</w:t>
            </w:r>
            <w:r w:rsidR="004277F9" w:rsidRPr="004277F9">
              <w:t xml:space="preserve"> </w:t>
            </w:r>
            <w:r w:rsidRPr="00D15A72">
              <w:rPr>
                <w:color w:val="FF33CC"/>
              </w:rPr>
              <w:tab/>
            </w:r>
          </w:p>
        </w:tc>
      </w:tr>
      <w:tr w:rsidR="0060648C" w:rsidRPr="00012450" w:rsidTr="00CD37A1">
        <w:tc>
          <w:tcPr>
            <w:tcW w:w="1710" w:type="dxa"/>
          </w:tcPr>
          <w:p w:rsidR="0060648C" w:rsidRDefault="0060648C" w:rsidP="00847E3C">
            <w:pPr>
              <w:rPr>
                <w:b/>
              </w:rPr>
            </w:pPr>
            <w:r>
              <w:rPr>
                <w:b/>
              </w:rPr>
              <w:t>Vocabulary:</w:t>
            </w:r>
          </w:p>
        </w:tc>
        <w:tc>
          <w:tcPr>
            <w:tcW w:w="8331" w:type="dxa"/>
          </w:tcPr>
          <w:p w:rsidR="00EF1578" w:rsidRPr="00EF1578" w:rsidRDefault="002212CF" w:rsidP="00FA0A1E">
            <w:r w:rsidRPr="00EF1578">
              <w:t>Square, rectangle, vertical, horizo</w:t>
            </w:r>
            <w:r w:rsidR="007F0435" w:rsidRPr="00EF1578">
              <w:t>ntal, right, left, top, bottom</w:t>
            </w:r>
            <w:r w:rsidR="00CD37A1" w:rsidRPr="00EF1578">
              <w:t>, positive, negative</w:t>
            </w:r>
          </w:p>
        </w:tc>
      </w:tr>
      <w:tr w:rsidR="00FA0A1E" w:rsidTr="00CD37A1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FA0A1E">
              <w:rPr>
                <w:b/>
              </w:rPr>
              <w:t>Lesson 1</w:t>
            </w:r>
            <w:r>
              <w:rPr>
                <w:b/>
              </w:rPr>
              <w:t>:</w:t>
            </w:r>
          </w:p>
          <w:p w:rsidR="0059622C" w:rsidRDefault="0059622C" w:rsidP="00847E3C">
            <w:pPr>
              <w:rPr>
                <w:b/>
              </w:rPr>
            </w:pPr>
          </w:p>
          <w:p w:rsidR="0059622C" w:rsidRDefault="0059622C" w:rsidP="00847E3C">
            <w:pPr>
              <w:rPr>
                <w:b/>
              </w:rPr>
            </w:pPr>
          </w:p>
          <w:p w:rsidR="0059622C" w:rsidRDefault="0059622C" w:rsidP="00847E3C">
            <w:pPr>
              <w:rPr>
                <w:b/>
              </w:rPr>
            </w:pPr>
          </w:p>
          <w:p w:rsidR="0059622C" w:rsidRDefault="0059622C" w:rsidP="00847E3C">
            <w:pPr>
              <w:rPr>
                <w:b/>
              </w:rPr>
            </w:pPr>
          </w:p>
          <w:p w:rsidR="0059622C" w:rsidRDefault="0059622C" w:rsidP="00847E3C">
            <w:pPr>
              <w:rPr>
                <w:b/>
              </w:rPr>
            </w:pPr>
          </w:p>
          <w:p w:rsidR="0059622C" w:rsidRDefault="0059622C" w:rsidP="00847E3C">
            <w:pPr>
              <w:rPr>
                <w:b/>
              </w:rPr>
            </w:pPr>
          </w:p>
          <w:p w:rsidR="0059622C" w:rsidRDefault="0059622C" w:rsidP="00847E3C">
            <w:pPr>
              <w:rPr>
                <w:b/>
              </w:rPr>
            </w:pPr>
          </w:p>
          <w:p w:rsidR="0059622C" w:rsidRDefault="0059622C" w:rsidP="00847E3C">
            <w:pPr>
              <w:rPr>
                <w:b/>
              </w:rPr>
            </w:pPr>
          </w:p>
          <w:p w:rsidR="00D1246A" w:rsidRDefault="00D1246A" w:rsidP="00847E3C">
            <w:pPr>
              <w:rPr>
                <w:b/>
              </w:rPr>
            </w:pPr>
          </w:p>
          <w:p w:rsidR="0059622C" w:rsidRDefault="0059622C" w:rsidP="00847E3C">
            <w:pPr>
              <w:rPr>
                <w:b/>
              </w:rPr>
            </w:pPr>
          </w:p>
          <w:p w:rsidR="0059622C" w:rsidRDefault="0059622C" w:rsidP="00847E3C">
            <w:pPr>
              <w:rPr>
                <w:color w:val="008080"/>
                <w:sz w:val="20"/>
                <w:szCs w:val="20"/>
              </w:rPr>
            </w:pPr>
            <w:r w:rsidRPr="0059622C">
              <w:rPr>
                <w:color w:val="008080"/>
                <w:sz w:val="20"/>
                <w:szCs w:val="20"/>
              </w:rPr>
              <w:t>Paint Tools:</w:t>
            </w:r>
            <w:r>
              <w:rPr>
                <w:color w:val="008080"/>
                <w:sz w:val="20"/>
                <w:szCs w:val="20"/>
              </w:rPr>
              <w:t xml:space="preserve"> Rectangle Tool</w:t>
            </w:r>
          </w:p>
          <w:p w:rsidR="0059622C" w:rsidRDefault="0059622C" w:rsidP="00847E3C">
            <w:pPr>
              <w:rPr>
                <w:color w:val="008080"/>
                <w:sz w:val="20"/>
                <w:szCs w:val="20"/>
              </w:rPr>
            </w:pPr>
          </w:p>
          <w:p w:rsidR="0059622C" w:rsidRDefault="0059622C" w:rsidP="00847E3C">
            <w:pPr>
              <w:rPr>
                <w:color w:val="008080"/>
                <w:sz w:val="20"/>
                <w:szCs w:val="20"/>
              </w:rPr>
            </w:pPr>
          </w:p>
          <w:p w:rsidR="0059622C" w:rsidRDefault="0059622C" w:rsidP="00847E3C">
            <w:pPr>
              <w:rPr>
                <w:color w:val="008080"/>
                <w:sz w:val="20"/>
                <w:szCs w:val="20"/>
              </w:rPr>
            </w:pPr>
          </w:p>
          <w:p w:rsidR="0059622C" w:rsidRDefault="0059622C" w:rsidP="00847E3C">
            <w:pPr>
              <w:rPr>
                <w:color w:val="008080"/>
                <w:sz w:val="20"/>
                <w:szCs w:val="20"/>
              </w:rPr>
            </w:pPr>
          </w:p>
          <w:p w:rsidR="0059622C" w:rsidRDefault="0059622C" w:rsidP="00847E3C">
            <w:pPr>
              <w:rPr>
                <w:color w:val="008080"/>
                <w:sz w:val="20"/>
                <w:szCs w:val="20"/>
              </w:rPr>
            </w:pPr>
          </w:p>
          <w:p w:rsidR="00A443D9" w:rsidRDefault="00A443D9" w:rsidP="00847E3C">
            <w:pPr>
              <w:rPr>
                <w:color w:val="008080"/>
                <w:sz w:val="20"/>
                <w:szCs w:val="20"/>
              </w:rPr>
            </w:pPr>
          </w:p>
          <w:p w:rsidR="00A443D9" w:rsidRDefault="00A443D9" w:rsidP="00847E3C">
            <w:pPr>
              <w:rPr>
                <w:color w:val="008080"/>
                <w:sz w:val="20"/>
                <w:szCs w:val="20"/>
              </w:rPr>
            </w:pPr>
          </w:p>
          <w:p w:rsidR="00A443D9" w:rsidRDefault="00A443D9" w:rsidP="00847E3C">
            <w:pPr>
              <w:rPr>
                <w:color w:val="008080"/>
                <w:sz w:val="20"/>
                <w:szCs w:val="20"/>
              </w:rPr>
            </w:pPr>
          </w:p>
          <w:p w:rsidR="00A443D9" w:rsidRDefault="00A443D9" w:rsidP="00847E3C">
            <w:pPr>
              <w:rPr>
                <w:color w:val="008080"/>
                <w:sz w:val="20"/>
                <w:szCs w:val="20"/>
              </w:rPr>
            </w:pPr>
          </w:p>
          <w:p w:rsidR="00A443D9" w:rsidRDefault="00A443D9" w:rsidP="00847E3C">
            <w:pPr>
              <w:rPr>
                <w:color w:val="008080"/>
                <w:sz w:val="20"/>
                <w:szCs w:val="20"/>
              </w:rPr>
            </w:pPr>
          </w:p>
          <w:p w:rsidR="00A443D9" w:rsidRDefault="00A443D9" w:rsidP="00847E3C">
            <w:pPr>
              <w:rPr>
                <w:color w:val="008080"/>
                <w:sz w:val="20"/>
                <w:szCs w:val="20"/>
              </w:rPr>
            </w:pPr>
          </w:p>
          <w:p w:rsidR="00A443D9" w:rsidRDefault="00A443D9" w:rsidP="00847E3C">
            <w:pPr>
              <w:rPr>
                <w:color w:val="008080"/>
                <w:sz w:val="20"/>
                <w:szCs w:val="20"/>
              </w:rPr>
            </w:pPr>
          </w:p>
          <w:p w:rsidR="00A443D9" w:rsidRDefault="00A443D9" w:rsidP="00847E3C">
            <w:pPr>
              <w:rPr>
                <w:color w:val="008080"/>
                <w:sz w:val="20"/>
                <w:szCs w:val="20"/>
              </w:rPr>
            </w:pPr>
          </w:p>
          <w:p w:rsidR="00A443D9" w:rsidRDefault="00A443D9" w:rsidP="00847E3C">
            <w:pPr>
              <w:rPr>
                <w:color w:val="008080"/>
                <w:sz w:val="20"/>
                <w:szCs w:val="20"/>
              </w:rPr>
            </w:pPr>
          </w:p>
          <w:p w:rsidR="00A443D9" w:rsidRDefault="00A443D9" w:rsidP="00847E3C">
            <w:pPr>
              <w:rPr>
                <w:color w:val="008080"/>
                <w:sz w:val="20"/>
                <w:szCs w:val="20"/>
              </w:rPr>
            </w:pPr>
          </w:p>
          <w:p w:rsidR="00A443D9" w:rsidRDefault="00A443D9" w:rsidP="00847E3C">
            <w:pPr>
              <w:rPr>
                <w:color w:val="008080"/>
                <w:sz w:val="20"/>
                <w:szCs w:val="20"/>
              </w:rPr>
            </w:pPr>
          </w:p>
          <w:p w:rsidR="007E1121" w:rsidRDefault="007E1121" w:rsidP="00847E3C">
            <w:pPr>
              <w:rPr>
                <w:color w:val="008080"/>
                <w:sz w:val="20"/>
                <w:szCs w:val="20"/>
              </w:rPr>
            </w:pPr>
          </w:p>
          <w:p w:rsidR="0059622C" w:rsidRPr="0059622C" w:rsidRDefault="0059622C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Navigator Bar</w:t>
            </w:r>
            <w:r w:rsidRPr="0059622C">
              <w:rPr>
                <w:color w:val="008080"/>
                <w:sz w:val="20"/>
                <w:szCs w:val="20"/>
              </w:rPr>
              <w:t>:</w:t>
            </w:r>
            <w:r>
              <w:rPr>
                <w:color w:val="008080"/>
                <w:sz w:val="20"/>
                <w:szCs w:val="20"/>
              </w:rPr>
              <w:t xml:space="preserve"> Keep Find Project</w:t>
            </w:r>
          </w:p>
        </w:tc>
        <w:tc>
          <w:tcPr>
            <w:tcW w:w="8331" w:type="dxa"/>
          </w:tcPr>
          <w:p w:rsidR="00DF152C" w:rsidRDefault="0059622C" w:rsidP="00847E3C">
            <w:r>
              <w:lastRenderedPageBreak/>
              <w:t xml:space="preserve">The </w:t>
            </w:r>
            <w:r w:rsidR="00DF152C">
              <w:t xml:space="preserve">puzzle </w:t>
            </w:r>
            <w:r>
              <w:t xml:space="preserve">is drawn as six pieces each </w:t>
            </w:r>
            <w:r w:rsidR="00DF152C">
              <w:t>using the clean line tools</w:t>
            </w:r>
            <w:r>
              <w:t>.</w:t>
            </w:r>
            <w:r w:rsidR="00470F05">
              <w:t xml:space="preserve"> The </w:t>
            </w:r>
            <w:r w:rsidR="00DF152C">
              <w:t xml:space="preserve">perfect square </w:t>
            </w:r>
            <w:r>
              <w:t>outl</w:t>
            </w:r>
            <w:r w:rsidR="00851D97">
              <w:t xml:space="preserve">ine </w:t>
            </w:r>
            <w:r w:rsidR="00470F05">
              <w:t xml:space="preserve">is </w:t>
            </w:r>
            <w:r w:rsidR="00851D97">
              <w:t>paved</w:t>
            </w:r>
            <w:r>
              <w:t xml:space="preserve"> with f</w:t>
            </w:r>
            <w:r w:rsidR="00DF152C">
              <w:t>ive rectangles</w:t>
            </w:r>
            <w:r w:rsidR="00851D97">
              <w:t xml:space="preserve"> drawn to fit</w:t>
            </w:r>
            <w:r w:rsidR="00DF152C">
              <w:t>. This example has five contrastin</w:t>
            </w:r>
            <w:r w:rsidR="00851D97">
              <w:t>g colors but, of course, if the</w:t>
            </w:r>
            <w:r w:rsidR="007F0435">
              <w:t xml:space="preserve"> </w:t>
            </w:r>
            <w:r w:rsidR="00DF152C">
              <w:t xml:space="preserve">class lessons </w:t>
            </w:r>
            <w:r w:rsidR="00DF152C">
              <w:lastRenderedPageBreak/>
              <w:t>are about the sky</w:t>
            </w:r>
            <w:r w:rsidR="007F0435">
              <w:t>,</w:t>
            </w:r>
            <w:r w:rsidR="00470F05">
              <w:t xml:space="preserve"> shades of blue</w:t>
            </w:r>
            <w:r w:rsidR="00DF152C">
              <w:t xml:space="preserve"> could be used. If the class is studying fruit</w:t>
            </w:r>
            <w:r w:rsidR="007F0435">
              <w:t>, colors could be related to that</w:t>
            </w:r>
            <w:r w:rsidR="00DF152C">
              <w:t xml:space="preserve"> topic.</w:t>
            </w:r>
          </w:p>
          <w:p w:rsidR="00851D97" w:rsidRDefault="00851D97" w:rsidP="00847E3C"/>
          <w:p w:rsidR="00DF152C" w:rsidRDefault="007430AE" w:rsidP="00847E3C">
            <w:r>
              <w:t>Show</w:t>
            </w:r>
            <w:r w:rsidR="00DF152C">
              <w:t xml:space="preserve"> the </w:t>
            </w:r>
            <w:r>
              <w:t xml:space="preserve">example </w:t>
            </w:r>
            <w:r w:rsidR="00DF152C">
              <w:t>project</w:t>
            </w:r>
            <w:r w:rsidR="0059622C">
              <w:t xml:space="preserve"> to students</w:t>
            </w:r>
            <w:r>
              <w:t xml:space="preserve"> and give them time to play with it. </w:t>
            </w:r>
            <w:r w:rsidR="0059622C">
              <w:t xml:space="preserve"> </w:t>
            </w:r>
            <w:r>
              <w:t>Analyze shapes and colors</w:t>
            </w:r>
            <w:r w:rsidR="00D1246A">
              <w:t>. A</w:t>
            </w:r>
            <w:r w:rsidR="00DF152C">
              <w:t xml:space="preserve">sk students </w:t>
            </w:r>
            <w:r w:rsidR="00D1246A">
              <w:t>to make puzzles. Discuss whether all the puzzles will look</w:t>
            </w:r>
            <w:r w:rsidR="00DF152C">
              <w:t xml:space="preserve"> the same. </w:t>
            </w:r>
            <w:r w:rsidR="0059622C">
              <w:t xml:space="preserve">Take time to talk about similarities and differences. </w:t>
            </w:r>
          </w:p>
          <w:p w:rsidR="00DF152C" w:rsidRDefault="00DF152C" w:rsidP="00847E3C"/>
          <w:p w:rsidR="00DF152C" w:rsidRDefault="00DF152C" w:rsidP="00847E3C">
            <w:r>
              <w:t>Open the paint palette and use the rectangle tool. Hol</w:t>
            </w:r>
            <w:r w:rsidR="00470F05">
              <w:t xml:space="preserve">d down shift to draw a </w:t>
            </w:r>
            <w:r>
              <w:t>square outline for the puzzle. Keep the square.</w:t>
            </w:r>
          </w:p>
          <w:p w:rsidR="00DF152C" w:rsidRDefault="00DF152C" w:rsidP="00847E3C"/>
          <w:p w:rsidR="00DF152C" w:rsidRDefault="00CD37A1" w:rsidP="00847E3C">
            <w:r>
              <w:t>Open a new palette and draw one</w:t>
            </w:r>
            <w:r w:rsidR="00DF152C">
              <w:t xml:space="preserve"> rectangle inside the square. Keep it.</w:t>
            </w:r>
          </w:p>
          <w:p w:rsidR="0059622C" w:rsidRDefault="0059622C" w:rsidP="00847E3C"/>
          <w:p w:rsidR="00DF152C" w:rsidRDefault="00DF152C" w:rsidP="00847E3C">
            <w:r>
              <w:t xml:space="preserve">Continue to open new palettes for each rectangle so that each </w:t>
            </w:r>
            <w:r w:rsidR="00470F05">
              <w:t xml:space="preserve">is an object that </w:t>
            </w:r>
            <w:r>
              <w:t>can be picked up and move</w:t>
            </w:r>
            <w:r w:rsidR="00470F05">
              <w:t xml:space="preserve">d to new places in the </w:t>
            </w:r>
            <w:r>
              <w:t>puzzle.</w:t>
            </w:r>
          </w:p>
          <w:p w:rsidR="00FA0A1E" w:rsidRDefault="00FA0A1E" w:rsidP="00847E3C"/>
          <w:p w:rsidR="0059622C" w:rsidRDefault="0059622C" w:rsidP="00847E3C">
            <w:r>
              <w:t>Give students time to experiment with the paint tools and filling the square with rectangles. This project paves the square and it will take time for students to plan</w:t>
            </w:r>
            <w:r w:rsidR="00CD37A1">
              <w:t xml:space="preserve"> the sizes and shapes of the</w:t>
            </w:r>
            <w:r>
              <w:t xml:space="preserve"> puzzle pieces</w:t>
            </w:r>
            <w:r w:rsidR="00CD37A1">
              <w:t xml:space="preserve">, their </w:t>
            </w:r>
            <w:r>
              <w:t>colors, and locations.</w:t>
            </w:r>
          </w:p>
          <w:p w:rsidR="0059622C" w:rsidRDefault="0059622C" w:rsidP="00847E3C"/>
          <w:p w:rsidR="0059622C" w:rsidRDefault="0059622C" w:rsidP="00847E3C">
            <w:r>
              <w:t xml:space="preserve">Keep the project, call it NameSquarePuzzle </w:t>
            </w:r>
            <w:r w:rsidR="00A443D9">
              <w:t>for example: kateSquarePuzzle</w:t>
            </w:r>
          </w:p>
        </w:tc>
      </w:tr>
      <w:tr w:rsidR="00FA0A1E" w:rsidTr="00CD37A1">
        <w:tc>
          <w:tcPr>
            <w:tcW w:w="1710" w:type="dxa"/>
          </w:tcPr>
          <w:p w:rsidR="00FA0A1E" w:rsidRPr="00A83110" w:rsidRDefault="00FA0A1E" w:rsidP="00A87D06">
            <w:pPr>
              <w:rPr>
                <w:b/>
              </w:rPr>
            </w:pPr>
            <w:r>
              <w:rPr>
                <w:b/>
              </w:rPr>
              <w:lastRenderedPageBreak/>
              <w:t>Lesson 2:</w:t>
            </w:r>
          </w:p>
        </w:tc>
        <w:tc>
          <w:tcPr>
            <w:tcW w:w="8331" w:type="dxa"/>
          </w:tcPr>
          <w:p w:rsidR="00CD37A1" w:rsidRDefault="00CD37A1" w:rsidP="007430AE">
            <w:r>
              <w:t>Give students time to experiment with their puzzle p</w:t>
            </w:r>
            <w:r w:rsidR="007430AE">
              <w:t xml:space="preserve">ieces and with </w:t>
            </w:r>
            <w:r>
              <w:t>their neighbor</w:t>
            </w:r>
            <w:r w:rsidR="007430AE">
              <w:t>’</w:t>
            </w:r>
            <w:r>
              <w:t>s</w:t>
            </w:r>
            <w:r w:rsidR="007430AE">
              <w:t xml:space="preserve"> puzzles. Make</w:t>
            </w:r>
            <w:r>
              <w:t xml:space="preserve"> designs</w:t>
            </w:r>
            <w:r w:rsidR="007430AE">
              <w:t>, patterns, stacks</w:t>
            </w:r>
            <w:r>
              <w:t xml:space="preserve"> </w:t>
            </w:r>
            <w:r w:rsidR="007430AE">
              <w:t xml:space="preserve">of </w:t>
            </w:r>
            <w:r>
              <w:t>p</w:t>
            </w:r>
            <w:r w:rsidR="007430AE">
              <w:t xml:space="preserve">ieces, add </w:t>
            </w:r>
            <w:r>
              <w:t>spa</w:t>
            </w:r>
            <w:r w:rsidR="007430AE">
              <w:t>ce between the pieces. Make designs that use the border to divide pieces.</w:t>
            </w:r>
          </w:p>
        </w:tc>
      </w:tr>
      <w:tr w:rsidR="00FA0A1E" w:rsidTr="00CD37A1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8331" w:type="dxa"/>
          </w:tcPr>
          <w:p w:rsidR="00BA72F3" w:rsidRDefault="00851D97" w:rsidP="000D3CEF">
            <w:r>
              <w:t>Common Core Standards</w:t>
            </w:r>
          </w:p>
          <w:p w:rsidR="00851D97" w:rsidRDefault="00851D97" w:rsidP="000D3CEF">
            <w:r>
              <w:t>Mathematics:</w:t>
            </w:r>
            <w:r w:rsidR="007430AE">
              <w:t xml:space="preserve"> 1.G.1,2</w:t>
            </w:r>
          </w:p>
          <w:p w:rsidR="008563F1" w:rsidRPr="00CD37A1" w:rsidRDefault="008563F1" w:rsidP="000D3CEF"/>
          <w:p w:rsidR="000D3CEF" w:rsidRPr="00CD37A1" w:rsidRDefault="000D3CEF" w:rsidP="000D3CEF">
            <w:r w:rsidRPr="00CD37A1">
              <w:t>Bloom’s Taxonomy/Cognitive Domain:</w:t>
            </w:r>
          </w:p>
          <w:p w:rsidR="000D3CEF" w:rsidRPr="00CD37A1" w:rsidRDefault="000D3CEF" w:rsidP="000D3CEF">
            <w:r w:rsidRPr="00CD37A1">
              <w:t>Knowledge: describe</w:t>
            </w:r>
            <w:r w:rsidR="00851D97">
              <w:t>s, knows</w:t>
            </w:r>
          </w:p>
          <w:p w:rsidR="000D3CEF" w:rsidRPr="00CD37A1" w:rsidRDefault="000D3CEF" w:rsidP="000D3CEF">
            <w:r w:rsidRPr="00CD37A1">
              <w:t>Application: demonstrates, produces, uses</w:t>
            </w:r>
          </w:p>
          <w:p w:rsidR="00851D97" w:rsidRDefault="00851D97" w:rsidP="00851D97">
            <w:r>
              <w:t xml:space="preserve">Analysis: </w:t>
            </w:r>
            <w:r w:rsidR="00CD37A1" w:rsidRPr="00CD37A1">
              <w:t>compares</w:t>
            </w:r>
            <w:r w:rsidRPr="00CD37A1">
              <w:t xml:space="preserve"> </w:t>
            </w:r>
          </w:p>
          <w:p w:rsidR="00851D97" w:rsidRDefault="00851D97" w:rsidP="00851D97"/>
          <w:p w:rsidR="00851D97" w:rsidRPr="00CD37A1" w:rsidRDefault="00851D97" w:rsidP="00851D97">
            <w:r w:rsidRPr="00CD37A1">
              <w:t xml:space="preserve">NETS </w:t>
            </w:r>
          </w:p>
          <w:p w:rsidR="00851D97" w:rsidRPr="00CD37A1" w:rsidRDefault="00851D97" w:rsidP="00851D97">
            <w:r w:rsidRPr="00CD37A1">
              <w:t>1. a, b</w:t>
            </w:r>
          </w:p>
          <w:p w:rsidR="00FA0A1E" w:rsidRDefault="00851D97" w:rsidP="00847E3C">
            <w:r w:rsidRPr="00CD37A1">
              <w:t>4. a, b</w:t>
            </w:r>
          </w:p>
        </w:tc>
      </w:tr>
      <w:tr w:rsidR="00FA0A1E" w:rsidTr="00CD37A1">
        <w:tc>
          <w:tcPr>
            <w:tcW w:w="1710" w:type="dxa"/>
          </w:tcPr>
          <w:p w:rsidR="00FA0A1E" w:rsidRPr="00967533" w:rsidRDefault="00FA0A1E" w:rsidP="00847E3C">
            <w:pPr>
              <w:rPr>
                <w:b/>
              </w:rPr>
            </w:pPr>
            <w:r w:rsidRPr="00A83110"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5C7017" w:rsidRDefault="005C7017" w:rsidP="005C7017">
            <w:r>
              <w:t xml:space="preserve">Etoys Help Quick Guides: always available in Etoys. Open Etoys and click the question mark to open a set of interactive tutorials of basic </w:t>
            </w:r>
            <w:r>
              <w:lastRenderedPageBreak/>
              <w:t>tools and techniques.</w:t>
            </w:r>
          </w:p>
          <w:p w:rsidR="005C7017" w:rsidRPr="00774F6A" w:rsidRDefault="00180491" w:rsidP="005C7017">
            <w:hyperlink r:id="rId8" w:history="1">
              <w:r w:rsidR="005C7017" w:rsidRPr="0012409F">
                <w:rPr>
                  <w:rStyle w:val="Hyperlink"/>
                </w:rPr>
                <w:t>www.etoysillinois.org</w:t>
              </w:r>
            </w:hyperlink>
            <w:r w:rsidR="005C7017">
              <w:t xml:space="preserve">  projects, </w:t>
            </w:r>
            <w:r w:rsidR="005C7017" w:rsidRPr="00774F6A">
              <w:t>lesson plans</w:t>
            </w:r>
            <w:r w:rsidR="005C7017">
              <w:t>, software download</w:t>
            </w:r>
          </w:p>
          <w:p w:rsidR="005C7017" w:rsidRDefault="00180491" w:rsidP="005C7017">
            <w:hyperlink r:id="rId9" w:history="1">
              <w:r w:rsidR="005C7017" w:rsidRPr="0012409F">
                <w:rPr>
                  <w:rStyle w:val="Hyperlink"/>
                </w:rPr>
                <w:t>www.mste.Illinois.org</w:t>
              </w:r>
            </w:hyperlink>
            <w:r w:rsidR="005C7017">
              <w:t xml:space="preserve"> more math, science, and technology resources</w:t>
            </w:r>
          </w:p>
          <w:p w:rsidR="005C7017" w:rsidRPr="00F30E17" w:rsidRDefault="00180491" w:rsidP="005C7017">
            <w:hyperlink r:id="rId10" w:history="1">
              <w:r w:rsidR="005C7017" w:rsidRPr="0012409F">
                <w:rPr>
                  <w:rStyle w:val="Hyperlink"/>
                </w:rPr>
                <w:t>www.corestandards.org</w:t>
              </w:r>
            </w:hyperlink>
            <w:r w:rsidR="005C7017">
              <w:t xml:space="preserve"> Common Core Standards </w:t>
            </w:r>
            <w:r w:rsidR="005C7017">
              <w:tab/>
            </w:r>
          </w:p>
          <w:p w:rsidR="005C7017" w:rsidRPr="00B90392" w:rsidRDefault="00180491" w:rsidP="005C7017">
            <w:hyperlink r:id="rId11" w:history="1">
              <w:r w:rsidR="005C7017" w:rsidRPr="0012409F">
                <w:rPr>
                  <w:rStyle w:val="Hyperlink"/>
                </w:rPr>
                <w:t>www.squeakland.org</w:t>
              </w:r>
            </w:hyperlink>
            <w:r w:rsidR="005C7017">
              <w:t xml:space="preserve"> software and Etoys projects </w:t>
            </w:r>
          </w:p>
          <w:p w:rsidR="00FA0A1E" w:rsidRPr="007E6367" w:rsidRDefault="00180491" w:rsidP="005C7017">
            <w:pPr>
              <w:rPr>
                <w:b/>
              </w:rPr>
            </w:pPr>
            <w:hyperlink r:id="rId12" w:history="1">
              <w:r w:rsidR="005C7017" w:rsidRPr="0012409F">
                <w:rPr>
                  <w:rStyle w:val="Hyperlink"/>
                </w:rPr>
                <w:t>www.nctm.org</w:t>
              </w:r>
            </w:hyperlink>
            <w:r w:rsidR="005C7017" w:rsidRPr="005C7017">
              <w:rPr>
                <w:b/>
              </w:rPr>
              <w:t xml:space="preserve"> </w:t>
            </w:r>
            <w:r w:rsidR="005C7017" w:rsidRPr="00B90392">
              <w:t>Standards and Focal Points</w:t>
            </w:r>
            <w:r w:rsidR="005C7017">
              <w:t xml:space="preserve"> for each </w:t>
            </w:r>
            <w:r w:rsidR="005C7017" w:rsidRPr="00B90392">
              <w:t>grade level</w:t>
            </w:r>
            <w:r w:rsidR="005C7017">
              <w:t xml:space="preserve"> </w:t>
            </w:r>
          </w:p>
        </w:tc>
      </w:tr>
      <w:tr w:rsidR="00FA0A1E" w:rsidTr="00CD37A1">
        <w:tc>
          <w:tcPr>
            <w:tcW w:w="1710" w:type="dxa"/>
          </w:tcPr>
          <w:p w:rsidR="00FA0A1E" w:rsidRPr="005C7017" w:rsidRDefault="005C7017" w:rsidP="005C7017">
            <w:pPr>
              <w:rPr>
                <w:sz w:val="20"/>
                <w:szCs w:val="20"/>
              </w:rPr>
            </w:pPr>
            <w:r w:rsidRPr="005C7017">
              <w:rPr>
                <w:sz w:val="20"/>
                <w:szCs w:val="20"/>
              </w:rPr>
              <w:lastRenderedPageBreak/>
              <w:t>k</w:t>
            </w:r>
            <w:r w:rsidR="00FA0A1E" w:rsidRPr="005C7017">
              <w:rPr>
                <w:sz w:val="20"/>
                <w:szCs w:val="20"/>
              </w:rPr>
              <w:t>h</w:t>
            </w:r>
            <w:r w:rsidR="00233AAC" w:rsidRPr="005C7017">
              <w:rPr>
                <w:sz w:val="20"/>
                <w:szCs w:val="20"/>
              </w:rPr>
              <w:t xml:space="preserve"> </w:t>
            </w:r>
            <w:r w:rsidRPr="005C7017">
              <w:rPr>
                <w:sz w:val="20"/>
                <w:szCs w:val="20"/>
              </w:rPr>
              <w:t>January 2011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D453F3" w:rsidRDefault="00D453F3" w:rsidP="00D453F3"/>
    <w:p w:rsidR="00D453F3" w:rsidRDefault="00D453F3" w:rsidP="00D453F3">
      <w:r>
        <w:tab/>
      </w:r>
    </w:p>
    <w:p w:rsidR="00D453F3" w:rsidRDefault="00D453F3" w:rsidP="00D453F3">
      <w:r>
        <w:tab/>
      </w:r>
      <w:r>
        <w:tab/>
      </w:r>
    </w:p>
    <w:p w:rsidR="00D453F3" w:rsidRDefault="00D453F3" w:rsidP="00D453F3">
      <w:r>
        <w:tab/>
      </w:r>
      <w:r>
        <w:tab/>
      </w:r>
      <w:r>
        <w:tab/>
      </w:r>
    </w:p>
    <w:p w:rsidR="001B2FB3" w:rsidRDefault="00A87D06">
      <w:r>
        <w:tab/>
      </w:r>
      <w:r>
        <w:tab/>
      </w:r>
      <w:r>
        <w:tab/>
      </w:r>
    </w:p>
    <w:sectPr w:rsidR="001B2FB3" w:rsidSect="00233AAC">
      <w:headerReference w:type="default" r:id="rId13"/>
      <w:footerReference w:type="even" r:id="rId14"/>
      <w:footerReference w:type="default" r:id="rId15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BD" w:rsidRDefault="00C645BD">
      <w:r>
        <w:separator/>
      </w:r>
    </w:p>
  </w:endnote>
  <w:endnote w:type="continuationSeparator" w:id="0">
    <w:p w:rsidR="00C645BD" w:rsidRDefault="00C6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6D" w:rsidRDefault="00180491" w:rsidP="000D7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8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86D" w:rsidRDefault="00FD186D" w:rsidP="00CD52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6D" w:rsidRDefault="00180491" w:rsidP="000D7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8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695">
      <w:rPr>
        <w:rStyle w:val="PageNumber"/>
        <w:noProof/>
      </w:rPr>
      <w:t>3</w:t>
    </w:r>
    <w:r>
      <w:rPr>
        <w:rStyle w:val="PageNumber"/>
      </w:rPr>
      <w:fldChar w:fldCharType="end"/>
    </w:r>
  </w:p>
  <w:p w:rsidR="00FD186D" w:rsidRPr="00F766F4" w:rsidRDefault="00FD186D" w:rsidP="00CD52CA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FD186D" w:rsidRDefault="005C7017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3" name="Picture 3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BD" w:rsidRDefault="00C645BD">
      <w:r>
        <w:separator/>
      </w:r>
    </w:p>
  </w:footnote>
  <w:footnote w:type="continuationSeparator" w:id="0">
    <w:p w:rsidR="00C645BD" w:rsidRDefault="00C6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6D" w:rsidRPr="00F766F4" w:rsidRDefault="00FD186D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FD186D" w:rsidRPr="00F766F4" w:rsidRDefault="00FD186D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FD186D" w:rsidRDefault="00FD186D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9F5CD2" w:rsidRPr="00F766F4" w:rsidRDefault="009F5CD2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D3CEF"/>
    <w:rsid w:val="000D75FA"/>
    <w:rsid w:val="00127643"/>
    <w:rsid w:val="00136275"/>
    <w:rsid w:val="00180491"/>
    <w:rsid w:val="001B2FB3"/>
    <w:rsid w:val="002212CF"/>
    <w:rsid w:val="0022273D"/>
    <w:rsid w:val="00233AAC"/>
    <w:rsid w:val="002829A9"/>
    <w:rsid w:val="002B3CE9"/>
    <w:rsid w:val="002B5F72"/>
    <w:rsid w:val="004277F9"/>
    <w:rsid w:val="00470F05"/>
    <w:rsid w:val="00550419"/>
    <w:rsid w:val="00581E9F"/>
    <w:rsid w:val="0059622C"/>
    <w:rsid w:val="005C7017"/>
    <w:rsid w:val="005E3C0F"/>
    <w:rsid w:val="0060648C"/>
    <w:rsid w:val="007430AE"/>
    <w:rsid w:val="00774F6A"/>
    <w:rsid w:val="007E1121"/>
    <w:rsid w:val="007E6367"/>
    <w:rsid w:val="007F0435"/>
    <w:rsid w:val="00826068"/>
    <w:rsid w:val="00847E3C"/>
    <w:rsid w:val="00851D97"/>
    <w:rsid w:val="008563F1"/>
    <w:rsid w:val="00884350"/>
    <w:rsid w:val="00975D23"/>
    <w:rsid w:val="009F5CD2"/>
    <w:rsid w:val="009F6552"/>
    <w:rsid w:val="00A443D9"/>
    <w:rsid w:val="00A87D06"/>
    <w:rsid w:val="00B022F4"/>
    <w:rsid w:val="00B14695"/>
    <w:rsid w:val="00BA72F3"/>
    <w:rsid w:val="00BF7747"/>
    <w:rsid w:val="00C645BD"/>
    <w:rsid w:val="00CD37A1"/>
    <w:rsid w:val="00CD52CA"/>
    <w:rsid w:val="00D1246A"/>
    <w:rsid w:val="00D453F3"/>
    <w:rsid w:val="00D5795F"/>
    <w:rsid w:val="00D926F6"/>
    <w:rsid w:val="00DF152C"/>
    <w:rsid w:val="00EF1578"/>
    <w:rsid w:val="00EF3A15"/>
    <w:rsid w:val="00F133FD"/>
    <w:rsid w:val="00F141F9"/>
    <w:rsid w:val="00F54552"/>
    <w:rsid w:val="00F766F4"/>
    <w:rsid w:val="00FA0A1E"/>
    <w:rsid w:val="00FA16E8"/>
    <w:rsid w:val="00FC02D7"/>
    <w:rsid w:val="00FD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52CA"/>
  </w:style>
  <w:style w:type="paragraph" w:styleId="BalloonText">
    <w:name w:val="Balloon Text"/>
    <w:basedOn w:val="Normal"/>
    <w:link w:val="BalloonTextChar"/>
    <w:rsid w:val="0085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ctm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queaklan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restandard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te.Illinois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Unit 4 schools</Company>
  <LinksUpToDate>false</LinksUpToDate>
  <CharactersWithSpaces>3261</CharactersWithSpaces>
  <SharedDoc>false</SharedDoc>
  <HLinks>
    <vt:vector size="24" baseType="variant">
      <vt:variant>
        <vt:i4>3997730</vt:i4>
      </vt:variant>
      <vt:variant>
        <vt:i4>9</vt:i4>
      </vt:variant>
      <vt:variant>
        <vt:i4>0</vt:i4>
      </vt:variant>
      <vt:variant>
        <vt:i4>5</vt:i4>
      </vt:variant>
      <vt:variant>
        <vt:lpwstr>http://www.squeakland.org/</vt:lpwstr>
      </vt:variant>
      <vt:variant>
        <vt:lpwstr/>
      </vt:variant>
      <vt:variant>
        <vt:i4>4259918</vt:i4>
      </vt:variant>
      <vt:variant>
        <vt:i4>6</vt:i4>
      </vt:variant>
      <vt:variant>
        <vt:i4>0</vt:i4>
      </vt:variant>
      <vt:variant>
        <vt:i4>5</vt:i4>
      </vt:variant>
      <vt:variant>
        <vt:lpwstr>http://www.mste.org/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http://www.etoysillinois.org/</vt:lpwstr>
      </vt:variant>
      <vt:variant>
        <vt:lpwstr/>
      </vt:variant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http://www.iste.org/Content/NavigationMenu/NETS/ForStudents/2007Standards/NETS_for_Students_2007.htm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6</cp:revision>
  <dcterms:created xsi:type="dcterms:W3CDTF">2011-01-16T23:51:00Z</dcterms:created>
  <dcterms:modified xsi:type="dcterms:W3CDTF">2011-01-17T12:27:00Z</dcterms:modified>
</cp:coreProperties>
</file>